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E10C7B">
        <w:rPr>
          <w:i/>
          <w:noProof/>
          <w:sz w:val="20"/>
          <w:szCs w:val="20"/>
        </w:rPr>
        <w:t>1</w:t>
      </w:r>
    </w:p>
    <w:p w:rsidR="002C5728" w:rsidRDefault="002C5728" w:rsidP="002C5728">
      <w:pPr>
        <w:jc w:val="center"/>
        <w:rPr>
          <w:b/>
        </w:rPr>
      </w:pPr>
      <w:r>
        <w:rPr>
          <w:b/>
        </w:rPr>
        <w:t xml:space="preserve">Перечень </w:t>
      </w:r>
      <w:r w:rsidRPr="004812AD">
        <w:rPr>
          <w:b/>
        </w:rPr>
        <w:t xml:space="preserve">стандартов, взаимосвязанных с </w:t>
      </w:r>
      <w:proofErr w:type="gramStart"/>
      <w:r>
        <w:rPr>
          <w:b/>
        </w:rPr>
        <w:t>ТР</w:t>
      </w:r>
      <w:proofErr w:type="gramEnd"/>
      <w:r>
        <w:rPr>
          <w:b/>
        </w:rPr>
        <w:t xml:space="preserve"> ТС </w:t>
      </w:r>
      <w:r w:rsidRPr="004812AD">
        <w:rPr>
          <w:b/>
        </w:rPr>
        <w:t xml:space="preserve">для введения </w:t>
      </w:r>
    </w:p>
    <w:p w:rsidR="002C5728" w:rsidRPr="004812AD" w:rsidRDefault="002C5728" w:rsidP="002C5728">
      <w:pPr>
        <w:jc w:val="center"/>
        <w:rPr>
          <w:b/>
        </w:rPr>
      </w:pPr>
      <w:r w:rsidRPr="004812AD">
        <w:rPr>
          <w:b/>
        </w:rPr>
        <w:t>на территории Республики Казахстан</w:t>
      </w:r>
      <w:r>
        <w:rPr>
          <w:b/>
        </w:rPr>
        <w:t xml:space="preserve">, </w:t>
      </w:r>
      <w:r w:rsidRPr="00592E77">
        <w:rPr>
          <w:b/>
        </w:rPr>
        <w:t>в качестве национальных стандартов</w:t>
      </w:r>
      <w:r>
        <w:rPr>
          <w:b/>
        </w:rPr>
        <w:t xml:space="preserve"> </w:t>
      </w:r>
    </w:p>
    <w:p w:rsidR="002C5728" w:rsidRPr="0001370C" w:rsidRDefault="002C5728" w:rsidP="002C5728">
      <w:pPr>
        <w:jc w:val="center"/>
        <w:rPr>
          <w:sz w:val="20"/>
          <w:szCs w:val="20"/>
        </w:rPr>
      </w:pPr>
    </w:p>
    <w:tbl>
      <w:tblPr>
        <w:tblStyle w:val="a3"/>
        <w:tblW w:w="100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423"/>
        <w:gridCol w:w="1141"/>
        <w:gridCol w:w="4393"/>
        <w:gridCol w:w="1843"/>
        <w:gridCol w:w="1565"/>
      </w:tblGrid>
      <w:tr w:rsidR="002C5728" w:rsidRPr="00E90499" w:rsidTr="006B7C78">
        <w:trPr>
          <w:trHeight w:val="230"/>
        </w:trPr>
        <w:tc>
          <w:tcPr>
            <w:tcW w:w="1103" w:type="dxa"/>
            <w:gridSpan w:val="2"/>
          </w:tcPr>
          <w:p w:rsidR="002C5728" w:rsidRPr="00E90499" w:rsidRDefault="002C5728" w:rsidP="00AA6A51">
            <w:pPr>
              <w:jc w:val="center"/>
            </w:pPr>
            <w:bookmarkStart w:id="0" w:name="_Hlk77342161"/>
            <w:r w:rsidRPr="00E90499">
              <w:rPr>
                <w:b/>
              </w:rPr>
              <w:t xml:space="preserve">№ </w:t>
            </w:r>
            <w:proofErr w:type="gramStart"/>
            <w:r w:rsidRPr="00E90499">
              <w:rPr>
                <w:b/>
              </w:rPr>
              <w:t>п</w:t>
            </w:r>
            <w:proofErr w:type="gramEnd"/>
            <w:r w:rsidRPr="00E90499">
              <w:rPr>
                <w:b/>
              </w:rPr>
              <w:t>/п</w:t>
            </w:r>
          </w:p>
        </w:tc>
        <w:tc>
          <w:tcPr>
            <w:tcW w:w="1141" w:type="dxa"/>
          </w:tcPr>
          <w:p w:rsidR="002C5728" w:rsidRPr="00E90499" w:rsidRDefault="002C5728" w:rsidP="00AA6A51">
            <w:pPr>
              <w:jc w:val="center"/>
            </w:pPr>
            <w:r w:rsidRPr="00E90499">
              <w:rPr>
                <w:rFonts w:eastAsia="Calibri"/>
                <w:b/>
                <w:color w:val="000000"/>
              </w:rPr>
              <w:t>Обозначение</w:t>
            </w:r>
          </w:p>
        </w:tc>
        <w:tc>
          <w:tcPr>
            <w:tcW w:w="4393" w:type="dxa"/>
          </w:tcPr>
          <w:p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rFonts w:eastAsia="Calibri"/>
                <w:b/>
                <w:color w:val="000000"/>
              </w:rPr>
              <w:t>Наименование</w:t>
            </w:r>
          </w:p>
        </w:tc>
        <w:tc>
          <w:tcPr>
            <w:tcW w:w="1843" w:type="dxa"/>
          </w:tcPr>
          <w:p w:rsidR="002C5728" w:rsidRPr="00E90499" w:rsidRDefault="002C5728" w:rsidP="00AA6A51">
            <w:pPr>
              <w:jc w:val="both"/>
              <w:rPr>
                <w:bCs/>
              </w:rPr>
            </w:pPr>
            <w:r w:rsidRPr="00E90499">
              <w:rPr>
                <w:b/>
              </w:rPr>
              <w:t>Информация</w:t>
            </w:r>
          </w:p>
        </w:tc>
        <w:tc>
          <w:tcPr>
            <w:tcW w:w="1565" w:type="dxa"/>
          </w:tcPr>
          <w:p w:rsidR="002C5728" w:rsidRPr="00E90499" w:rsidRDefault="002C5728" w:rsidP="00AA6A51">
            <w:pPr>
              <w:jc w:val="center"/>
              <w:rPr>
                <w:bCs/>
              </w:rPr>
            </w:pPr>
            <w:r w:rsidRPr="00E90499">
              <w:rPr>
                <w:b/>
              </w:rPr>
              <w:t>Дата  введения</w:t>
            </w:r>
          </w:p>
        </w:tc>
      </w:tr>
      <w:tr w:rsidR="002C5728" w:rsidRPr="00E90499" w:rsidTr="00E3658E">
        <w:trPr>
          <w:trHeight w:val="230"/>
        </w:trPr>
        <w:tc>
          <w:tcPr>
            <w:tcW w:w="10045" w:type="dxa"/>
            <w:gridSpan w:val="6"/>
          </w:tcPr>
          <w:p w:rsidR="00D47EBD" w:rsidRPr="00D47EBD" w:rsidRDefault="00D47EBD" w:rsidP="00D47EBD">
            <w:pPr>
              <w:jc w:val="center"/>
              <w:rPr>
                <w:b/>
              </w:rPr>
            </w:pPr>
            <w:proofErr w:type="gramStart"/>
            <w:r w:rsidRPr="00D47EBD">
              <w:rPr>
                <w:b/>
              </w:rPr>
              <w:t>ТР</w:t>
            </w:r>
            <w:proofErr w:type="gramEnd"/>
            <w:r w:rsidRPr="00D47EBD">
              <w:rPr>
                <w:b/>
              </w:rPr>
              <w:t xml:space="preserve"> ТС 001/2011«О безопасности железнодорожного подвижного состава»</w:t>
            </w:r>
            <w:r>
              <w:rPr>
                <w:b/>
              </w:rPr>
              <w:t xml:space="preserve"> </w:t>
            </w:r>
            <w:r w:rsidRPr="00D47EBD">
              <w:rPr>
                <w:b/>
              </w:rPr>
              <w:t>, ТР ТС 002/2011</w:t>
            </w:r>
            <w:r>
              <w:rPr>
                <w:b/>
              </w:rPr>
              <w:t xml:space="preserve"> </w:t>
            </w:r>
            <w:r w:rsidRPr="00D47EBD">
              <w:rPr>
                <w:b/>
              </w:rPr>
              <w:t>"О безопасности высокоскоростного железнодорожного транспорта", ТР ТС 003/2011</w:t>
            </w:r>
            <w:r>
              <w:rPr>
                <w:b/>
              </w:rPr>
              <w:t xml:space="preserve"> </w:t>
            </w:r>
            <w:r w:rsidRPr="00D47EBD">
              <w:rPr>
                <w:b/>
              </w:rPr>
              <w:t>«О безопасности инфраструктуры железнодорожного</w:t>
            </w:r>
          </w:p>
          <w:p w:rsidR="002C5728" w:rsidRPr="00E90499" w:rsidRDefault="00D47EBD" w:rsidP="00D47EBD">
            <w:pPr>
              <w:jc w:val="center"/>
              <w:rPr>
                <w:b/>
              </w:rPr>
            </w:pPr>
            <w:r w:rsidRPr="00D47EBD">
              <w:rPr>
                <w:b/>
              </w:rPr>
              <w:t>транспорта»</w:t>
            </w:r>
          </w:p>
        </w:tc>
      </w:tr>
      <w:bookmarkEnd w:id="0"/>
      <w:tr w:rsidR="00AC5C72" w:rsidRPr="00E90499" w:rsidTr="006B7C78">
        <w:trPr>
          <w:trHeight w:val="230"/>
        </w:trPr>
        <w:tc>
          <w:tcPr>
            <w:tcW w:w="680" w:type="dxa"/>
          </w:tcPr>
          <w:p w:rsidR="00AC5C72" w:rsidRPr="00E90499" w:rsidRDefault="00AC5C72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AC5C72" w:rsidRPr="00ED15E7" w:rsidRDefault="00AC5C72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30243.1-2021 </w:t>
            </w:r>
          </w:p>
        </w:tc>
        <w:tc>
          <w:tcPr>
            <w:tcW w:w="4393" w:type="dxa"/>
          </w:tcPr>
          <w:p w:rsidR="00AC5C72" w:rsidRPr="00ED15E7" w:rsidRDefault="00AC5C72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gramStart"/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Вагоны-хопперы</w:t>
            </w:r>
            <w:proofErr w:type="gramEnd"/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 открытые колеи 1520 мм для сыпучих грузов. Общие технические условия»</w:t>
            </w:r>
          </w:p>
        </w:tc>
        <w:tc>
          <w:tcPr>
            <w:tcW w:w="1843" w:type="dxa"/>
          </w:tcPr>
          <w:p w:rsidR="00AC5C72" w:rsidRPr="00E90499" w:rsidRDefault="00AC5C72" w:rsidP="0072677B">
            <w:pPr>
              <w:jc w:val="both"/>
              <w:rPr>
                <w:bCs/>
              </w:rPr>
            </w:pPr>
            <w:r w:rsidRPr="00AC5C72">
              <w:t>В</w:t>
            </w:r>
            <w:r>
              <w:t xml:space="preserve">замен </w:t>
            </w:r>
            <w:r w:rsidRPr="00AC5C72">
              <w:t>ГОСТ 30243.1-97</w:t>
            </w:r>
            <w:r w:rsidR="00944115">
              <w:rPr>
                <w:bCs/>
              </w:rPr>
              <w:t xml:space="preserve"> установлением переходного периода до </w:t>
            </w:r>
            <w:r w:rsidR="006F26EB">
              <w:rPr>
                <w:bCs/>
              </w:rPr>
              <w:t>0</w:t>
            </w:r>
            <w:r w:rsidR="0072677B">
              <w:rPr>
                <w:bCs/>
              </w:rPr>
              <w:t>6</w:t>
            </w:r>
            <w:bookmarkStart w:id="1" w:name="_GoBack"/>
            <w:bookmarkEnd w:id="1"/>
            <w:r w:rsidR="006F26EB">
              <w:rPr>
                <w:bCs/>
              </w:rPr>
              <w:t>.06</w:t>
            </w:r>
            <w:r w:rsidR="00944115">
              <w:rPr>
                <w:bCs/>
              </w:rPr>
              <w:t>.2023</w:t>
            </w:r>
          </w:p>
        </w:tc>
        <w:tc>
          <w:tcPr>
            <w:tcW w:w="1565" w:type="dxa"/>
          </w:tcPr>
          <w:p w:rsidR="00AC5C72" w:rsidRPr="00E90499" w:rsidRDefault="006F26EB" w:rsidP="0072677B">
            <w:pPr>
              <w:jc w:val="both"/>
              <w:rPr>
                <w:bCs/>
              </w:rPr>
            </w:pPr>
            <w:r>
              <w:rPr>
                <w:bCs/>
              </w:rPr>
              <w:t>0</w:t>
            </w:r>
            <w:r w:rsidR="0072677B">
              <w:rPr>
                <w:bCs/>
              </w:rPr>
              <w:t>6</w:t>
            </w:r>
            <w:r>
              <w:rPr>
                <w:bCs/>
              </w:rPr>
              <w:t>.06</w:t>
            </w:r>
            <w:r w:rsidR="008222C5">
              <w:rPr>
                <w:bCs/>
              </w:rPr>
              <w:t>.2022 г</w:t>
            </w:r>
          </w:p>
        </w:tc>
      </w:tr>
      <w:tr w:rsidR="0072677B" w:rsidRPr="00E90499" w:rsidTr="006B7C78">
        <w:trPr>
          <w:trHeight w:val="647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34765-2021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«Вагоны грузовые бункерного типа. Общие технические условия»</w:t>
            </w:r>
          </w:p>
        </w:tc>
        <w:tc>
          <w:tcPr>
            <w:tcW w:w="1843" w:type="dxa"/>
          </w:tcPr>
          <w:p w:rsidR="0072677B" w:rsidRPr="00E90499" w:rsidRDefault="0072677B" w:rsidP="00AA6A51">
            <w:pPr>
              <w:jc w:val="both"/>
              <w:rPr>
                <w:bCs/>
              </w:rPr>
            </w:pPr>
            <w:r w:rsidRPr="00E90499">
              <w:rPr>
                <w:bCs/>
              </w:rP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34759-2021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«Железнодорожный подвижной состав. Нормы допустимого воздействия на железнодорожный путь и методы испытаний»</w:t>
            </w:r>
          </w:p>
        </w:tc>
        <w:tc>
          <w:tcPr>
            <w:tcW w:w="1843" w:type="dxa"/>
          </w:tcPr>
          <w:p w:rsidR="0072677B" w:rsidRPr="00E90499" w:rsidRDefault="0072677B" w:rsidP="00AA6A51">
            <w:pPr>
              <w:jc w:val="both"/>
              <w:rPr>
                <w:bCs/>
              </w:rPr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33436.3-1-2015 (IEC 62236-3-1:2008)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«Совместимость технических средств электромагнитная. Системы и оборудование железнодорожного транспорта. Часть 3-1. железнодорожный подвижной состав. Требования и методы испытаний»</w:t>
            </w:r>
          </w:p>
        </w:tc>
        <w:tc>
          <w:tcPr>
            <w:tcW w:w="1843" w:type="dxa"/>
          </w:tcPr>
          <w:p w:rsidR="0072677B" w:rsidRPr="00E90499" w:rsidRDefault="0072677B" w:rsidP="00AA6A51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33190-2019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«Вагоны пассажирские локомотивной тяги и </w:t>
            </w:r>
            <w:proofErr w:type="spellStart"/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моторвагонный</w:t>
            </w:r>
            <w:proofErr w:type="spellEnd"/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 подвижной состав. Технические требования для перевозки инвалидов и методы контроля»</w:t>
            </w:r>
          </w:p>
        </w:tc>
        <w:tc>
          <w:tcPr>
            <w:tcW w:w="1843" w:type="dxa"/>
          </w:tcPr>
          <w:p w:rsidR="0072677B" w:rsidRDefault="0072677B" w:rsidP="00B6629E">
            <w:pPr>
              <w:jc w:val="both"/>
            </w:pPr>
            <w:proofErr w:type="gramStart"/>
            <w:r>
              <w:t>Взамен ГОСТ 33190-2014, ГОСТ 30795—2001, ГОСТ 30796—2001, ГОСТ 33327-2015 (в части</w:t>
            </w:r>
            <w:proofErr w:type="gramEnd"/>
          </w:p>
          <w:p w:rsidR="0072677B" w:rsidRPr="00E90499" w:rsidRDefault="0072677B" w:rsidP="0072677B">
            <w:pPr>
              <w:jc w:val="both"/>
            </w:pPr>
            <w:r>
              <w:t>требований пунктов 9.1.10 – 9.1.15, 21.3.4)</w:t>
            </w:r>
            <w:r>
              <w:rPr>
                <w:bCs/>
              </w:rPr>
              <w:t xml:space="preserve"> установлением переходного периода до 06.06.2023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34764-2021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«Вагоны-самосвалы. Требования к прочности и динамическим качествам»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647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31666-2014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gramStart"/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Дизель-поезда</w:t>
            </w:r>
            <w:proofErr w:type="gramEnd"/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. Общие технические требования»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 w:rsidRPr="00E90499">
              <w:rPr>
                <w:bCs/>
              </w:rP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spacing w:line="235" w:lineRule="auto"/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IEC 61508-3-2018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spacing w:line="235" w:lineRule="auto"/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33435-2015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«Устройства управления, контроля и безопасности железнодорожного </w:t>
            </w:r>
            <w:r w:rsidRPr="00ED15E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подвижного состава. Требования безопасности и методы контроля»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</w:pPr>
            <w:r w:rsidRPr="00E90499">
              <w:lastRenderedPageBreak/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headertext"/>
              <w:spacing w:before="0" w:beforeAutospacing="0" w:after="0" w:afterAutospacing="0"/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34772-2021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spacing w:line="235" w:lineRule="auto"/>
              <w:ind w:left="34"/>
              <w:jc w:val="both"/>
              <w:rPr>
                <w:rStyle w:val="211pt"/>
                <w:rFonts w:eastAsia="Arial Unicode MS"/>
              </w:rPr>
            </w:pPr>
            <w:r w:rsidRPr="00ED15E7">
              <w:rPr>
                <w:sz w:val="22"/>
                <w:szCs w:val="22"/>
              </w:rPr>
              <w:t>«Транспортеры железнодорожные. Требования к прочности и динамическим качествам»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34767-2021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«Балансир трехосных тележек грузовых вагонов. Технические условия»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647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34768-2021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«Балка соединительная четырехосных тележек грузовых вагонов. Технические условия»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 w:rsidRPr="00E90499">
              <w:rPr>
                <w:bCs/>
              </w:rP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34769-2021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«Балка шкворневая трехосных тележек грузовых вагонов. Технические условия»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33883-2016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«Блокировки тормозов железнодорожного подвижного состава. Требования безопасности и методы контроля»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18855-2013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«Подшипники качения. Динамическая грузоподъемность и номинальный ресурс» (Для всех типов подшипников)</w:t>
            </w:r>
          </w:p>
        </w:tc>
        <w:tc>
          <w:tcPr>
            <w:tcW w:w="1843" w:type="dxa"/>
          </w:tcPr>
          <w:p w:rsidR="0072677B" w:rsidRPr="00E90499" w:rsidRDefault="0072677B" w:rsidP="00544240">
            <w:pPr>
              <w:jc w:val="both"/>
            </w:pPr>
            <w:r w:rsidRPr="00AC5C72">
              <w:t>В</w:t>
            </w:r>
            <w:r>
              <w:t>замен</w:t>
            </w:r>
            <w:r w:rsidRPr="00387AE9">
              <w:t xml:space="preserve"> ГОСТ 18855-94</w:t>
            </w:r>
            <w:r>
              <w:rPr>
                <w:bCs/>
              </w:rPr>
              <w:t xml:space="preserve"> установлением переходного периода до 06.06.2023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pStyle w:val="ConsPlusNormal"/>
              <w:widowControl/>
              <w:shd w:val="clear" w:color="auto" w:fill="FFFFFF"/>
              <w:ind w:left="-108" w:righ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 xml:space="preserve">ГОСТ 34763.1-2021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spacing w:line="235" w:lineRule="auto"/>
              <w:ind w:lef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«Тележки трех и четырехосные грузовых вагонов железных дорог. Общие технические требования»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647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33463.6-2016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«Системы жизнеобеспечения на железнодорожном подвижном составе. Часть 6. Методы гигиенической оценки системы водоснабжения»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 w:rsidRPr="00E90499">
              <w:rPr>
                <w:bCs/>
              </w:rP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33565-2015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«Кабельные изделия. Требования пожарной безопасности»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  <w:rPr>
                <w:bCs/>
              </w:rPr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33761-2016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«Локомотивы. Методика динамико-прочностных испытаний»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A42B2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33974-2016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pStyle w:val="ConsPlusNormal"/>
              <w:widowControl/>
              <w:ind w:left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5E7">
              <w:rPr>
                <w:rFonts w:ascii="Times New Roman" w:hAnsi="Times New Roman" w:cs="Times New Roman"/>
                <w:sz w:val="22"/>
                <w:szCs w:val="22"/>
              </w:rPr>
              <w:t>«Средства телемеханизации для систем электроснабжения железных дорог Общие технические условия»</w:t>
            </w:r>
          </w:p>
        </w:tc>
        <w:tc>
          <w:tcPr>
            <w:tcW w:w="1843" w:type="dxa"/>
          </w:tcPr>
          <w:p w:rsidR="0072677B" w:rsidRPr="00E90499" w:rsidRDefault="0072677B" w:rsidP="00387AD9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6032-2017 </w:t>
            </w:r>
          </w:p>
        </w:tc>
        <w:tc>
          <w:tcPr>
            <w:tcW w:w="4393" w:type="dxa"/>
          </w:tcPr>
          <w:p w:rsidR="0072677B" w:rsidRPr="00ED15E7" w:rsidRDefault="0072677B" w:rsidP="00387AD9">
            <w:pPr>
              <w:ind w:left="142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«Стали и сплавы </w:t>
            </w:r>
            <w:proofErr w:type="gramStart"/>
            <w:r w:rsidRPr="00ED15E7">
              <w:rPr>
                <w:sz w:val="22"/>
                <w:szCs w:val="22"/>
              </w:rPr>
              <w:t>коррозионно-стойкие</w:t>
            </w:r>
            <w:proofErr w:type="gramEnd"/>
            <w:r w:rsidRPr="00ED15E7">
              <w:rPr>
                <w:sz w:val="22"/>
                <w:szCs w:val="22"/>
              </w:rPr>
              <w:t>. Методы испытаний на стойкость против межкристаллитной коррозии»</w:t>
            </w:r>
          </w:p>
        </w:tc>
        <w:tc>
          <w:tcPr>
            <w:tcW w:w="1843" w:type="dxa"/>
          </w:tcPr>
          <w:p w:rsidR="0072677B" w:rsidRPr="00E90499" w:rsidRDefault="0072677B" w:rsidP="0072677B">
            <w:pPr>
              <w:jc w:val="both"/>
              <w:rPr>
                <w:bCs/>
              </w:rPr>
            </w:pPr>
            <w:r w:rsidRPr="00AC5C72">
              <w:t>В</w:t>
            </w:r>
            <w:r>
              <w:t>замен</w:t>
            </w:r>
            <w:r w:rsidRPr="00387AE9">
              <w:t xml:space="preserve"> ГОСТ 6032-2003</w:t>
            </w:r>
            <w:r>
              <w:rPr>
                <w:bCs/>
              </w:rPr>
              <w:t xml:space="preserve"> установлением переходного периода до 06.06.2023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  <w:gridSpan w:val="2"/>
          </w:tcPr>
          <w:p w:rsidR="0072677B" w:rsidRPr="00ED15E7" w:rsidRDefault="0072677B" w:rsidP="00387AD9">
            <w:pPr>
              <w:ind w:left="-108" w:right="34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10390-2015 </w:t>
            </w:r>
          </w:p>
        </w:tc>
        <w:tc>
          <w:tcPr>
            <w:tcW w:w="4393" w:type="dxa"/>
            <w:vAlign w:val="center"/>
          </w:tcPr>
          <w:p w:rsidR="0072677B" w:rsidRPr="00ED15E7" w:rsidRDefault="0072677B" w:rsidP="00387AD9">
            <w:pPr>
              <w:ind w:left="142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«Электрооборудование на напряжение свыше 3 </w:t>
            </w:r>
            <w:proofErr w:type="spellStart"/>
            <w:r w:rsidRPr="00ED15E7">
              <w:rPr>
                <w:sz w:val="22"/>
                <w:szCs w:val="22"/>
              </w:rPr>
              <w:t>кВ.</w:t>
            </w:r>
            <w:proofErr w:type="spellEnd"/>
            <w:r w:rsidRPr="00ED15E7">
              <w:rPr>
                <w:sz w:val="22"/>
                <w:szCs w:val="22"/>
              </w:rPr>
              <w:t xml:space="preserve"> Методы испытаний внешней изоляции в загрязненном состоянии»</w:t>
            </w:r>
          </w:p>
        </w:tc>
        <w:tc>
          <w:tcPr>
            <w:tcW w:w="1843" w:type="dxa"/>
          </w:tcPr>
          <w:p w:rsidR="0072677B" w:rsidRPr="00E90499" w:rsidRDefault="0072677B" w:rsidP="0072677B">
            <w:pPr>
              <w:jc w:val="both"/>
              <w:rPr>
                <w:bCs/>
              </w:rPr>
            </w:pPr>
            <w:r w:rsidRPr="00AC5C72">
              <w:t>В</w:t>
            </w:r>
            <w:r>
              <w:t>замен</w:t>
            </w:r>
            <w:r w:rsidRPr="00AE1352">
              <w:t xml:space="preserve"> ГОСТ 10390-86</w:t>
            </w:r>
            <w:r>
              <w:rPr>
                <w:bCs/>
              </w:rPr>
              <w:t xml:space="preserve"> установлением переходного периода до 06.06.2023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E3658E" w:rsidRPr="00E90499" w:rsidTr="00E3658E">
        <w:trPr>
          <w:trHeight w:val="230"/>
        </w:trPr>
        <w:tc>
          <w:tcPr>
            <w:tcW w:w="10045" w:type="dxa"/>
            <w:gridSpan w:val="6"/>
          </w:tcPr>
          <w:p w:rsidR="00E3658E" w:rsidRPr="00E90499" w:rsidRDefault="00E3658E" w:rsidP="00504E67">
            <w:pPr>
              <w:jc w:val="center"/>
              <w:rPr>
                <w:b/>
              </w:rPr>
            </w:pPr>
            <w:proofErr w:type="gramStart"/>
            <w:r w:rsidRPr="00E90499">
              <w:rPr>
                <w:b/>
              </w:rPr>
              <w:t>ТР</w:t>
            </w:r>
            <w:proofErr w:type="gramEnd"/>
            <w:r w:rsidRPr="00E90499">
              <w:rPr>
                <w:b/>
              </w:rPr>
              <w:t xml:space="preserve"> </w:t>
            </w:r>
            <w:r>
              <w:rPr>
                <w:b/>
              </w:rPr>
              <w:t xml:space="preserve">ТС 029/2012 «Требования безопасности пищевых добавок, </w:t>
            </w:r>
            <w:proofErr w:type="spellStart"/>
            <w:r>
              <w:rPr>
                <w:b/>
              </w:rPr>
              <w:t>ароматизаторов</w:t>
            </w:r>
            <w:proofErr w:type="spellEnd"/>
            <w:r>
              <w:rPr>
                <w:b/>
              </w:rPr>
              <w:t xml:space="preserve"> и технических вспомогательных средств»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E3658E">
            <w:pPr>
              <w:pStyle w:val="a4"/>
              <w:numPr>
                <w:ilvl w:val="0"/>
                <w:numId w:val="7"/>
              </w:numPr>
              <w:tabs>
                <w:tab w:val="left" w:pos="5"/>
              </w:tabs>
              <w:spacing w:after="0" w:line="240" w:lineRule="auto"/>
              <w:ind w:hanging="1075"/>
              <w:jc w:val="center"/>
            </w:pPr>
          </w:p>
        </w:tc>
        <w:tc>
          <w:tcPr>
            <w:tcW w:w="1564" w:type="dxa"/>
            <w:gridSpan w:val="2"/>
          </w:tcPr>
          <w:p w:rsidR="0072677B" w:rsidRPr="008128F8" w:rsidRDefault="0072677B" w:rsidP="00504E67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ГОСТ </w:t>
            </w:r>
            <w:r>
              <w:rPr>
                <w:bCs/>
                <w:lang w:val="en-US"/>
              </w:rPr>
              <w:t>ISO 15163-2014</w:t>
            </w:r>
          </w:p>
        </w:tc>
        <w:tc>
          <w:tcPr>
            <w:tcW w:w="4393" w:type="dxa"/>
          </w:tcPr>
          <w:p w:rsidR="0072677B" w:rsidRPr="008128F8" w:rsidRDefault="0072677B" w:rsidP="00504E67">
            <w:pPr>
              <w:jc w:val="both"/>
              <w:rPr>
                <w:bCs/>
                <w:highlight w:val="red"/>
              </w:rPr>
            </w:pPr>
            <w:r w:rsidRPr="008128F8">
              <w:rPr>
                <w:bCs/>
              </w:rPr>
              <w:t xml:space="preserve">Молоко и молочные продукты. Сычужный фермент из желудка телят и взрослых коров и быков. </w:t>
            </w:r>
            <w:proofErr w:type="spellStart"/>
            <w:r w:rsidRPr="008128F8">
              <w:rPr>
                <w:bCs/>
              </w:rPr>
              <w:t>Хроматографический</w:t>
            </w:r>
            <w:proofErr w:type="spellEnd"/>
            <w:r w:rsidRPr="008128F8">
              <w:rPr>
                <w:bCs/>
              </w:rPr>
              <w:t xml:space="preserve"> метод определения химозина и пепсина.</w:t>
            </w:r>
          </w:p>
        </w:tc>
        <w:tc>
          <w:tcPr>
            <w:tcW w:w="1843" w:type="dxa"/>
          </w:tcPr>
          <w:p w:rsidR="0072677B" w:rsidRPr="00E90499" w:rsidRDefault="0072677B" w:rsidP="00504E67">
            <w:pPr>
              <w:jc w:val="both"/>
              <w:rPr>
                <w:bCs/>
              </w:rPr>
            </w:pPr>
            <w: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647"/>
        </w:trPr>
        <w:tc>
          <w:tcPr>
            <w:tcW w:w="680" w:type="dxa"/>
          </w:tcPr>
          <w:p w:rsidR="0072677B" w:rsidRPr="00E90499" w:rsidRDefault="0072677B" w:rsidP="00E3658E">
            <w:pPr>
              <w:pStyle w:val="a4"/>
              <w:numPr>
                <w:ilvl w:val="0"/>
                <w:numId w:val="7"/>
              </w:numPr>
              <w:spacing w:after="0" w:line="240" w:lineRule="auto"/>
              <w:ind w:hanging="1075"/>
              <w:jc w:val="center"/>
            </w:pPr>
          </w:p>
        </w:tc>
        <w:tc>
          <w:tcPr>
            <w:tcW w:w="1564" w:type="dxa"/>
            <w:gridSpan w:val="2"/>
          </w:tcPr>
          <w:p w:rsidR="0072677B" w:rsidRPr="00E90499" w:rsidRDefault="0072677B" w:rsidP="00504E67">
            <w:pPr>
              <w:rPr>
                <w:bCs/>
              </w:rPr>
            </w:pPr>
            <w:r w:rsidRPr="00E90499">
              <w:rPr>
                <w:bCs/>
              </w:rPr>
              <w:t>ГОСТ</w:t>
            </w:r>
          </w:p>
          <w:p w:rsidR="0072677B" w:rsidRPr="0005371B" w:rsidRDefault="0072677B" w:rsidP="00504E67">
            <w:pPr>
              <w:rPr>
                <w:bCs/>
              </w:rPr>
            </w:pPr>
            <w:r w:rsidRPr="0005371B">
              <w:rPr>
                <w:bCs/>
              </w:rPr>
              <w:t>31487-2012</w:t>
            </w:r>
          </w:p>
        </w:tc>
        <w:tc>
          <w:tcPr>
            <w:tcW w:w="4393" w:type="dxa"/>
          </w:tcPr>
          <w:p w:rsidR="0072677B" w:rsidRPr="008128F8" w:rsidRDefault="0072677B" w:rsidP="00504E67">
            <w:pPr>
              <w:jc w:val="both"/>
              <w:rPr>
                <w:bCs/>
                <w:highlight w:val="red"/>
              </w:rPr>
            </w:pPr>
            <w:r>
              <w:rPr>
                <w:bCs/>
              </w:rPr>
              <w:t xml:space="preserve">Препараты ферментные. </w:t>
            </w:r>
            <w:r w:rsidRPr="0005371B">
              <w:rPr>
                <w:bCs/>
              </w:rPr>
              <w:t xml:space="preserve">Методы  определения ферментативной активности  </w:t>
            </w:r>
            <w:proofErr w:type="spellStart"/>
            <w:r w:rsidRPr="0005371B">
              <w:rPr>
                <w:bCs/>
              </w:rPr>
              <w:t>фитазы</w:t>
            </w:r>
            <w:proofErr w:type="spellEnd"/>
          </w:p>
        </w:tc>
        <w:tc>
          <w:tcPr>
            <w:tcW w:w="1843" w:type="dxa"/>
          </w:tcPr>
          <w:p w:rsidR="0072677B" w:rsidRPr="00E90499" w:rsidRDefault="0072677B" w:rsidP="00504E67">
            <w:pPr>
              <w:jc w:val="both"/>
              <w:rPr>
                <w:bCs/>
              </w:rPr>
            </w:pPr>
            <w:r w:rsidRPr="00E90499">
              <w:rPr>
                <w:bCs/>
              </w:rPr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90499" w:rsidRDefault="0072677B" w:rsidP="00E3658E">
            <w:pPr>
              <w:pStyle w:val="a4"/>
              <w:numPr>
                <w:ilvl w:val="0"/>
                <w:numId w:val="7"/>
              </w:numPr>
              <w:spacing w:after="0" w:line="240" w:lineRule="auto"/>
              <w:ind w:hanging="1075"/>
              <w:jc w:val="center"/>
            </w:pPr>
          </w:p>
        </w:tc>
        <w:tc>
          <w:tcPr>
            <w:tcW w:w="1564" w:type="dxa"/>
            <w:gridSpan w:val="2"/>
          </w:tcPr>
          <w:p w:rsidR="0072677B" w:rsidRPr="008128F8" w:rsidRDefault="0072677B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31488-2012</w:t>
            </w:r>
          </w:p>
        </w:tc>
        <w:tc>
          <w:tcPr>
            <w:tcW w:w="4393" w:type="dxa"/>
          </w:tcPr>
          <w:p w:rsidR="0072677B" w:rsidRPr="008128F8" w:rsidRDefault="0072677B" w:rsidP="00504E67">
            <w:pPr>
              <w:jc w:val="both"/>
              <w:rPr>
                <w:bCs/>
                <w:highlight w:val="red"/>
              </w:rPr>
            </w:pPr>
            <w:r w:rsidRPr="0005371B">
              <w:rPr>
                <w:bCs/>
              </w:rPr>
              <w:t xml:space="preserve">Препараты ферментные. Методы определения ферментативной активности </w:t>
            </w:r>
            <w:proofErr w:type="spellStart"/>
            <w:r w:rsidRPr="0005371B">
              <w:rPr>
                <w:bCs/>
              </w:rPr>
              <w:t>ксиланазы</w:t>
            </w:r>
            <w:proofErr w:type="spellEnd"/>
          </w:p>
        </w:tc>
        <w:tc>
          <w:tcPr>
            <w:tcW w:w="1843" w:type="dxa"/>
          </w:tcPr>
          <w:p w:rsidR="0072677B" w:rsidRPr="00E90499" w:rsidRDefault="0072677B" w:rsidP="00504E67">
            <w:pPr>
              <w:jc w:val="both"/>
              <w:rPr>
                <w:bCs/>
              </w:rPr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3658E" w:rsidRDefault="0072677B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Default="0072677B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31662-2012</w:t>
            </w:r>
          </w:p>
        </w:tc>
        <w:tc>
          <w:tcPr>
            <w:tcW w:w="4393" w:type="dxa"/>
          </w:tcPr>
          <w:p w:rsidR="0072677B" w:rsidRPr="0005371B" w:rsidRDefault="0072677B" w:rsidP="00504E67">
            <w:pPr>
              <w:jc w:val="both"/>
              <w:rPr>
                <w:bCs/>
              </w:rPr>
            </w:pPr>
            <w:r>
              <w:rPr>
                <w:bCs/>
              </w:rPr>
              <w:t>Препараты ферментные.</w:t>
            </w:r>
          </w:p>
          <w:p w:rsidR="0072677B" w:rsidRPr="0005371B" w:rsidRDefault="0072677B" w:rsidP="00504E67">
            <w:pPr>
              <w:jc w:val="both"/>
              <w:rPr>
                <w:bCs/>
              </w:rPr>
            </w:pPr>
            <w:r w:rsidRPr="0005371B">
              <w:rPr>
                <w:bCs/>
              </w:rPr>
              <w:t>Методы определения ферментативной</w:t>
            </w:r>
          </w:p>
          <w:p w:rsidR="0072677B" w:rsidRPr="008128F8" w:rsidRDefault="0072677B" w:rsidP="00504E67">
            <w:pPr>
              <w:jc w:val="both"/>
              <w:rPr>
                <w:bCs/>
                <w:highlight w:val="red"/>
              </w:rPr>
            </w:pPr>
            <w:r w:rsidRPr="0005371B">
              <w:rPr>
                <w:bCs/>
              </w:rPr>
              <w:t xml:space="preserve">активности </w:t>
            </w:r>
            <w:proofErr w:type="spellStart"/>
            <w:r w:rsidRPr="0005371B">
              <w:rPr>
                <w:bCs/>
              </w:rPr>
              <w:t>целлюлазы</w:t>
            </w:r>
            <w:proofErr w:type="spellEnd"/>
          </w:p>
        </w:tc>
        <w:tc>
          <w:tcPr>
            <w:tcW w:w="1843" w:type="dxa"/>
          </w:tcPr>
          <w:p w:rsidR="0072677B" w:rsidRPr="00E90499" w:rsidRDefault="0072677B" w:rsidP="00504E67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3658E" w:rsidRDefault="0072677B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Default="0072677B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34412-2018</w:t>
            </w:r>
          </w:p>
        </w:tc>
        <w:tc>
          <w:tcPr>
            <w:tcW w:w="4393" w:type="dxa"/>
          </w:tcPr>
          <w:p w:rsidR="0072677B" w:rsidRPr="008128F8" w:rsidRDefault="0072677B" w:rsidP="00504E67">
            <w:pPr>
              <w:jc w:val="both"/>
              <w:rPr>
                <w:bCs/>
                <w:highlight w:val="red"/>
              </w:rPr>
            </w:pPr>
            <w:r w:rsidRPr="00691C85">
              <w:rPr>
                <w:bCs/>
              </w:rPr>
              <w:t xml:space="preserve">Пектин. Идентификация. Метод </w:t>
            </w:r>
            <w:proofErr w:type="gramStart"/>
            <w:r w:rsidRPr="00691C85">
              <w:rPr>
                <w:bCs/>
              </w:rPr>
              <w:t>экспресс-идентификации</w:t>
            </w:r>
            <w:proofErr w:type="gramEnd"/>
            <w:r w:rsidRPr="00691C85">
              <w:rPr>
                <w:bCs/>
              </w:rPr>
              <w:t xml:space="preserve"> </w:t>
            </w:r>
            <w:proofErr w:type="spellStart"/>
            <w:r w:rsidRPr="00691C85">
              <w:rPr>
                <w:bCs/>
              </w:rPr>
              <w:t>амидированных</w:t>
            </w:r>
            <w:proofErr w:type="spellEnd"/>
            <w:r w:rsidRPr="00691C85">
              <w:rPr>
                <w:bCs/>
              </w:rPr>
              <w:t xml:space="preserve"> пектинов</w:t>
            </w:r>
          </w:p>
        </w:tc>
        <w:tc>
          <w:tcPr>
            <w:tcW w:w="1843" w:type="dxa"/>
          </w:tcPr>
          <w:p w:rsidR="0072677B" w:rsidRPr="00E90499" w:rsidRDefault="0072677B" w:rsidP="00504E67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3658E" w:rsidRDefault="0072677B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Default="0072677B" w:rsidP="00504E67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ГОСТ 34146-2017</w:t>
            </w:r>
          </w:p>
        </w:tc>
        <w:tc>
          <w:tcPr>
            <w:tcW w:w="4393" w:type="dxa"/>
          </w:tcPr>
          <w:p w:rsidR="0072677B" w:rsidRPr="00691C85" w:rsidRDefault="0072677B" w:rsidP="00504E67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Добавки пищевые. </w:t>
            </w:r>
            <w:r w:rsidRPr="00691C85">
              <w:rPr>
                <w:bCs/>
              </w:rPr>
              <w:t>Методы идентификации и определения массовой доли</w:t>
            </w:r>
          </w:p>
          <w:p w:rsidR="0072677B" w:rsidRPr="008128F8" w:rsidRDefault="0072677B" w:rsidP="00504E67">
            <w:pPr>
              <w:jc w:val="both"/>
              <w:rPr>
                <w:bCs/>
                <w:highlight w:val="red"/>
              </w:rPr>
            </w:pPr>
            <w:r w:rsidRPr="00691C85">
              <w:rPr>
                <w:bCs/>
              </w:rPr>
              <w:t>основного красящего вещества пищевого красителя</w:t>
            </w:r>
            <w:r>
              <w:rPr>
                <w:bCs/>
              </w:rPr>
              <w:t xml:space="preserve"> </w:t>
            </w:r>
            <w:proofErr w:type="spellStart"/>
            <w:r w:rsidRPr="00691C85">
              <w:rPr>
                <w:bCs/>
              </w:rPr>
              <w:t>куркумин</w:t>
            </w:r>
            <w:proofErr w:type="spellEnd"/>
            <w:r w:rsidRPr="00691C85">
              <w:rPr>
                <w:bCs/>
              </w:rPr>
              <w:t xml:space="preserve"> Е100</w:t>
            </w:r>
          </w:p>
        </w:tc>
        <w:tc>
          <w:tcPr>
            <w:tcW w:w="1843" w:type="dxa"/>
          </w:tcPr>
          <w:p w:rsidR="0072677B" w:rsidRPr="00E90499" w:rsidRDefault="0072677B" w:rsidP="00504E67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72677B" w:rsidRPr="00E90499" w:rsidTr="006B7C78">
        <w:trPr>
          <w:trHeight w:val="230"/>
        </w:trPr>
        <w:tc>
          <w:tcPr>
            <w:tcW w:w="680" w:type="dxa"/>
          </w:tcPr>
          <w:p w:rsidR="0072677B" w:rsidRPr="00E3658E" w:rsidRDefault="0072677B" w:rsidP="00E3658E">
            <w:pPr>
              <w:pStyle w:val="a4"/>
              <w:numPr>
                <w:ilvl w:val="0"/>
                <w:numId w:val="7"/>
              </w:numPr>
              <w:ind w:hanging="1080"/>
              <w:jc w:val="center"/>
              <w:rPr>
                <w:lang w:val="kk-KZ"/>
              </w:rPr>
            </w:pPr>
          </w:p>
        </w:tc>
        <w:tc>
          <w:tcPr>
            <w:tcW w:w="1564" w:type="dxa"/>
            <w:gridSpan w:val="2"/>
          </w:tcPr>
          <w:p w:rsidR="0072677B" w:rsidRDefault="0072677B" w:rsidP="00504E67">
            <w:pPr>
              <w:rPr>
                <w:bCs/>
                <w:lang w:val="kk-KZ"/>
              </w:rPr>
            </w:pPr>
            <w:r w:rsidRPr="007E1A87">
              <w:rPr>
                <w:bCs/>
                <w:lang w:val="kk-KZ"/>
              </w:rPr>
              <w:t>ГОСТ</w:t>
            </w:r>
            <w:r>
              <w:rPr>
                <w:bCs/>
                <w:lang w:val="kk-KZ"/>
              </w:rPr>
              <w:t xml:space="preserve">  34228-</w:t>
            </w:r>
            <w:r w:rsidRPr="007E1A87">
              <w:rPr>
                <w:bCs/>
                <w:lang w:val="kk-KZ"/>
              </w:rPr>
              <w:t>2017</w:t>
            </w:r>
          </w:p>
        </w:tc>
        <w:tc>
          <w:tcPr>
            <w:tcW w:w="4393" w:type="dxa"/>
          </w:tcPr>
          <w:p w:rsidR="0072677B" w:rsidRDefault="0072677B" w:rsidP="00504E67">
            <w:pPr>
              <w:jc w:val="both"/>
              <w:rPr>
                <w:bCs/>
              </w:rPr>
            </w:pPr>
            <w:r w:rsidRPr="007E1A87">
              <w:rPr>
                <w:bCs/>
              </w:rPr>
              <w:t xml:space="preserve">Продукция </w:t>
            </w:r>
            <w:r>
              <w:rPr>
                <w:bCs/>
              </w:rPr>
              <w:t>с</w:t>
            </w:r>
            <w:r w:rsidRPr="007E1A87">
              <w:rPr>
                <w:bCs/>
              </w:rPr>
              <w:t>оковая</w:t>
            </w:r>
            <w:r>
              <w:rPr>
                <w:bCs/>
              </w:rPr>
              <w:t xml:space="preserve">. </w:t>
            </w:r>
            <w:r w:rsidRPr="007E1A87">
              <w:rPr>
                <w:bCs/>
              </w:rPr>
              <w:t>Определение консервантов методом</w:t>
            </w:r>
            <w:r>
              <w:rPr>
                <w:bCs/>
              </w:rPr>
              <w:t xml:space="preserve"> </w:t>
            </w:r>
            <w:r w:rsidRPr="007E1A87">
              <w:rPr>
                <w:bCs/>
              </w:rPr>
              <w:t>высокоэффективной жидкостной хроматографии</w:t>
            </w:r>
          </w:p>
        </w:tc>
        <w:tc>
          <w:tcPr>
            <w:tcW w:w="1843" w:type="dxa"/>
          </w:tcPr>
          <w:p w:rsidR="0072677B" w:rsidRPr="00E90499" w:rsidRDefault="0072677B" w:rsidP="00504E67">
            <w:pPr>
              <w:jc w:val="both"/>
            </w:pPr>
            <w:r w:rsidRPr="00E90499">
              <w:t>Введен впервые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  <w:tr w:rsidR="00E3658E" w:rsidRPr="00E90499" w:rsidTr="00E3658E">
        <w:trPr>
          <w:trHeight w:val="230"/>
        </w:trPr>
        <w:tc>
          <w:tcPr>
            <w:tcW w:w="10045" w:type="dxa"/>
            <w:gridSpan w:val="6"/>
          </w:tcPr>
          <w:p w:rsidR="00E3658E" w:rsidRPr="00D30793" w:rsidRDefault="00E3658E" w:rsidP="00504E67">
            <w:pPr>
              <w:jc w:val="center"/>
              <w:rPr>
                <w:b/>
                <w:bCs/>
              </w:rPr>
            </w:pPr>
            <w:proofErr w:type="gramStart"/>
            <w:r w:rsidRPr="00D30793">
              <w:rPr>
                <w:b/>
                <w:bCs/>
              </w:rPr>
              <w:t>ТР</w:t>
            </w:r>
            <w:proofErr w:type="gramEnd"/>
            <w:r w:rsidRPr="00D30793">
              <w:rPr>
                <w:b/>
                <w:bCs/>
              </w:rPr>
              <w:t xml:space="preserve"> ТС 019/2011</w:t>
            </w:r>
            <w:r>
              <w:rPr>
                <w:b/>
                <w:bCs/>
              </w:rPr>
              <w:t xml:space="preserve">  </w:t>
            </w:r>
            <w:r w:rsidRPr="00D30793">
              <w:rPr>
                <w:b/>
                <w:bCs/>
              </w:rPr>
              <w:t>«О безопасности средств индивидуальной защиты»</w:t>
            </w:r>
          </w:p>
        </w:tc>
      </w:tr>
      <w:tr w:rsidR="0072677B" w:rsidRPr="000B4F46" w:rsidTr="006B7C78">
        <w:trPr>
          <w:trHeight w:val="230"/>
        </w:trPr>
        <w:tc>
          <w:tcPr>
            <w:tcW w:w="680" w:type="dxa"/>
          </w:tcPr>
          <w:p w:rsidR="0072677B" w:rsidRPr="00E3658E" w:rsidRDefault="0072677B" w:rsidP="00E3658E">
            <w:pPr>
              <w:pStyle w:val="a4"/>
              <w:numPr>
                <w:ilvl w:val="0"/>
                <w:numId w:val="7"/>
              </w:numPr>
              <w:ind w:hanging="933"/>
              <w:rPr>
                <w:bCs/>
              </w:rPr>
            </w:pPr>
          </w:p>
        </w:tc>
        <w:tc>
          <w:tcPr>
            <w:tcW w:w="1564" w:type="dxa"/>
            <w:gridSpan w:val="2"/>
          </w:tcPr>
          <w:p w:rsidR="0072677B" w:rsidRPr="00845AEE" w:rsidRDefault="0072677B" w:rsidP="00504E67">
            <w:pPr>
              <w:ind w:firstLine="33"/>
              <w:rPr>
                <w:bCs/>
              </w:rPr>
            </w:pPr>
            <w:r w:rsidRPr="00B83675">
              <w:rPr>
                <w:bCs/>
              </w:rPr>
              <w:t>ГОСТ</w:t>
            </w:r>
            <w:r>
              <w:rPr>
                <w:bCs/>
              </w:rPr>
              <w:t xml:space="preserve"> </w:t>
            </w:r>
            <w:r w:rsidRPr="00B83675">
              <w:rPr>
                <w:bCs/>
              </w:rPr>
              <w:t>12.4.310</w:t>
            </w:r>
            <w:r>
              <w:rPr>
                <w:bCs/>
              </w:rPr>
              <w:t>-</w:t>
            </w:r>
            <w:r w:rsidRPr="00B83675">
              <w:rPr>
                <w:bCs/>
              </w:rPr>
              <w:t>2020</w:t>
            </w:r>
          </w:p>
        </w:tc>
        <w:tc>
          <w:tcPr>
            <w:tcW w:w="4393" w:type="dxa"/>
          </w:tcPr>
          <w:p w:rsidR="0072677B" w:rsidRDefault="0072677B" w:rsidP="00504E67">
            <w:pPr>
              <w:jc w:val="both"/>
              <w:rPr>
                <w:bCs/>
              </w:rPr>
            </w:pPr>
            <w:r w:rsidRPr="00B83675">
              <w:rPr>
                <w:bCs/>
              </w:rPr>
              <w:t>Система стандартов безопасности труда</w:t>
            </w:r>
            <w:r>
              <w:rPr>
                <w:bCs/>
              </w:rPr>
              <w:t>. О</w:t>
            </w:r>
            <w:r w:rsidRPr="00B83675">
              <w:rPr>
                <w:bCs/>
              </w:rPr>
              <w:t>дежда специальная</w:t>
            </w:r>
            <w:r>
              <w:rPr>
                <w:bCs/>
              </w:rPr>
              <w:t xml:space="preserve"> </w:t>
            </w:r>
            <w:r w:rsidRPr="00B83675">
              <w:rPr>
                <w:bCs/>
              </w:rPr>
              <w:t>для защиты работающих</w:t>
            </w:r>
            <w:r>
              <w:rPr>
                <w:bCs/>
              </w:rPr>
              <w:t xml:space="preserve"> </w:t>
            </w:r>
            <w:r w:rsidRPr="00B83675">
              <w:rPr>
                <w:bCs/>
              </w:rPr>
              <w:t>от воздействия нефти и нефтепродуктов</w:t>
            </w:r>
            <w:r>
              <w:rPr>
                <w:bCs/>
              </w:rPr>
              <w:t xml:space="preserve">. </w:t>
            </w:r>
            <w:r w:rsidRPr="00B83675">
              <w:rPr>
                <w:bCs/>
              </w:rPr>
              <w:t>Общие технические условия</w:t>
            </w:r>
          </w:p>
        </w:tc>
        <w:tc>
          <w:tcPr>
            <w:tcW w:w="1843" w:type="dxa"/>
          </w:tcPr>
          <w:p w:rsidR="0072677B" w:rsidRPr="00845AEE" w:rsidRDefault="0072677B" w:rsidP="0072677B">
            <w:pPr>
              <w:rPr>
                <w:bCs/>
              </w:rPr>
            </w:pPr>
            <w:r w:rsidRPr="00B83675">
              <w:rPr>
                <w:bCs/>
              </w:rPr>
              <w:t>Взамен ГОСТ 12.4.310-2016</w:t>
            </w:r>
            <w:r>
              <w:rPr>
                <w:bCs/>
              </w:rPr>
              <w:t xml:space="preserve"> с установление переходного периода до 06.06.2023 г.</w:t>
            </w:r>
          </w:p>
        </w:tc>
        <w:tc>
          <w:tcPr>
            <w:tcW w:w="1565" w:type="dxa"/>
          </w:tcPr>
          <w:p w:rsidR="0072677B" w:rsidRPr="00E90499" w:rsidRDefault="0072677B" w:rsidP="00B5208B">
            <w:pPr>
              <w:jc w:val="both"/>
              <w:rPr>
                <w:bCs/>
              </w:rPr>
            </w:pPr>
            <w:r>
              <w:rPr>
                <w:bCs/>
              </w:rPr>
              <w:t>06.06.2022 г</w:t>
            </w:r>
          </w:p>
        </w:tc>
      </w:tr>
    </w:tbl>
    <w:p w:rsidR="002C5728" w:rsidRPr="0001370C" w:rsidRDefault="002C5728" w:rsidP="002C5728">
      <w:pPr>
        <w:tabs>
          <w:tab w:val="left" w:pos="8364"/>
          <w:tab w:val="left" w:pos="8647"/>
        </w:tabs>
        <w:jc w:val="center"/>
        <w:rPr>
          <w:sz w:val="20"/>
          <w:szCs w:val="20"/>
        </w:rPr>
      </w:pPr>
    </w:p>
    <w:p w:rsidR="002C5728" w:rsidRDefault="002C5728" w:rsidP="002C5728">
      <w:pPr>
        <w:jc w:val="center"/>
        <w:rPr>
          <w:b/>
        </w:rPr>
      </w:pPr>
    </w:p>
    <w:p w:rsidR="00944115" w:rsidRDefault="00944115" w:rsidP="006129AA">
      <w:pPr>
        <w:jc w:val="center"/>
        <w:rPr>
          <w:b/>
        </w:rPr>
      </w:pPr>
    </w:p>
    <w:p w:rsidR="00944115" w:rsidRDefault="00944115" w:rsidP="006129AA">
      <w:pPr>
        <w:jc w:val="center"/>
        <w:rPr>
          <w:b/>
        </w:rPr>
      </w:pPr>
    </w:p>
    <w:sectPr w:rsidR="0094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14302B"/>
    <w:rsid w:val="002C5728"/>
    <w:rsid w:val="00387AE9"/>
    <w:rsid w:val="00544240"/>
    <w:rsid w:val="006129AA"/>
    <w:rsid w:val="006B7C78"/>
    <w:rsid w:val="006F26EB"/>
    <w:rsid w:val="0072677B"/>
    <w:rsid w:val="008222C5"/>
    <w:rsid w:val="008D6B15"/>
    <w:rsid w:val="00944115"/>
    <w:rsid w:val="00982EB9"/>
    <w:rsid w:val="00A42B29"/>
    <w:rsid w:val="00AB678F"/>
    <w:rsid w:val="00AC5C72"/>
    <w:rsid w:val="00AE1352"/>
    <w:rsid w:val="00B6629E"/>
    <w:rsid w:val="00D00456"/>
    <w:rsid w:val="00D47EBD"/>
    <w:rsid w:val="00E10C7B"/>
    <w:rsid w:val="00E3658E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20</cp:revision>
  <cp:lastPrinted>2022-05-17T09:57:00Z</cp:lastPrinted>
  <dcterms:created xsi:type="dcterms:W3CDTF">2022-02-02T03:44:00Z</dcterms:created>
  <dcterms:modified xsi:type="dcterms:W3CDTF">2022-06-03T09:13:00Z</dcterms:modified>
</cp:coreProperties>
</file>